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워크시트 기반 전략 판단 일지</w:t>
      </w:r>
    </w:p>
    <w:p>
      <w:r>
        <w:t>📅 일시: 2025년 4월 19일</w:t>
      </w:r>
    </w:p>
    <w:p>
      <w:r>
        <w:t>🧭 주제: 공덕 PoC 사업 신청 여부에 대한 전략적 판단</w:t>
      </w:r>
    </w:p>
    <w:p>
      <w:r>
        <w:t>👥 기록자: 용차이 × 지니</w:t>
      </w:r>
    </w:p>
    <w:p>
      <w:r>
        <w:t>📚 워크시트 참조: v-04, v-13, v-06</w:t>
      </w:r>
    </w:p>
    <w:p>
      <w:pPr>
        <w:pStyle w:val="Heading1"/>
      </w:pPr>
      <w:r>
        <w:t>🎯 [이슈 배경]</w:t>
      </w:r>
    </w:p>
    <w:p>
      <w:r>
        <w:t>공덕 사업 신청을 통해 5월 1일자 핵심 입주 신청서의 통과 가능성을 높이려는 시도.</w:t>
        <w:br/>
        <w:t>그러나 대기업 연계가 소비자 포지셔닝을 흐릴 수 있다는 우려 발생.</w:t>
      </w:r>
    </w:p>
    <w:p>
      <w:pPr>
        <w:pStyle w:val="Heading1"/>
      </w:pPr>
      <w:r>
        <w:t>🧠 [워크시트 전개 흐름]</w:t>
      </w:r>
    </w:p>
    <w:p>
      <w:r>
        <w:t>1. v-04 목적기술구조도</w:t>
        <w:br/>
        <w:t>- “상대의 입장에서 다시 보기”</w:t>
        <w:br/>
        <w:t>- 제휴가 생업공간이 아닌, 중심 전략을 흔드는 위험으로 인식됨</w:t>
      </w:r>
    </w:p>
    <w:p>
      <w:r>
        <w:t>2. v-13 힘의 삼원칙</w:t>
        <w:br/>
        <w:t>- pros/cons 분석</w:t>
        <w:br/>
        <w:t>- 단기 명분보다, 전략적 중심 유지의 이득이 더 크다고 판단</w:t>
      </w:r>
    </w:p>
    <w:p>
      <w:r>
        <w:t>3. v-06 포지셔닝</w:t>
        <w:br/>
        <w:t>- 타깃의 혼란을 피해야 함</w:t>
        <w:br/>
        <w:t>- “된장인지 고추장인지 헷갈리는 브랜드”는 위험</w:t>
      </w:r>
    </w:p>
    <w:p>
      <w:pPr>
        <w:pStyle w:val="Heading1"/>
      </w:pPr>
      <w:r>
        <w:t>✅ [최종 판단 및 실행 방향]</w:t>
      </w:r>
    </w:p>
    <w:p>
      <w:r>
        <w:t>- 공덕 사업 참여 중단</w:t>
        <w:br/>
        <w:t>- 5월 1일 입주신청서에 집중</w:t>
        <w:br/>
        <w:t>- 중심 타깃(자연인 창업자)과 된장 전략을 일관되게 유지</w:t>
        <w:br/>
        <w:t>- 위 결정 과정을 후학 멘토링 자료로 활용</w:t>
      </w:r>
    </w:p>
    <w:p>
      <w:pPr>
        <w:pStyle w:val="Heading1"/>
      </w:pPr>
      <w:r>
        <w:t>📎 [워크시트 이미지 요약]</w:t>
      </w:r>
    </w:p>
    <w:p>
      <w:r>
        <w:drawing>
          <wp:inline xmlns:a="http://schemas.openxmlformats.org/drawingml/2006/main" xmlns:pic="http://schemas.openxmlformats.org/drawingml/2006/picture">
            <wp:extent cx="5029200" cy="50292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presentation_document_in_Korean_titled_&quot;목적기술구조도_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2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/>
      </w:r>
    </w:p>
    <w:p>
      <w:r>
        <w:drawing>
          <wp:inline xmlns:a="http://schemas.openxmlformats.org/drawingml/2006/main" xmlns:pic="http://schemas.openxmlformats.org/drawingml/2006/picture">
            <wp:extent cx="5029200" cy="5029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slide_in_the_Korean_language_titled_&quot;워크시트_v-13_힘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2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/>
      </w:r>
    </w:p>
    <w:p>
      <w:r>
        <w:drawing>
          <wp:inline xmlns:a="http://schemas.openxmlformats.org/drawingml/2006/main" xmlns:pic="http://schemas.openxmlformats.org/drawingml/2006/picture">
            <wp:extent cx="5029200" cy="502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flowchart_chart_created_digitally_in_Korean_is_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2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